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96160" w14:textId="77777777" w:rsidR="00B35FDD" w:rsidRP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B35FDD">
        <w:rPr>
          <w:rFonts w:asciiTheme="majorHAnsi" w:hAnsiTheme="majorHAnsi" w:cs="Arial"/>
          <w:b/>
          <w:sz w:val="24"/>
          <w:szCs w:val="24"/>
        </w:rPr>
        <w:t>ZAŁĄCZNIK DO FORMULARZA OFERTOWO – CENOWEGO</w:t>
      </w:r>
    </w:p>
    <w:p w14:paraId="393953E0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67539476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0C7355C7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3FAE5DC7" w14:textId="77777777" w:rsidR="00B35FDD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p w14:paraId="1F5074C2" w14:textId="77777777" w:rsidR="00B35FDD" w:rsidRPr="00682FBB" w:rsidRDefault="00B35FDD" w:rsidP="00B35FDD">
      <w:pPr>
        <w:spacing w:after="0" w:line="240" w:lineRule="auto"/>
        <w:rPr>
          <w:rFonts w:asciiTheme="majorHAnsi" w:hAnsiTheme="majorHAnsi" w:cs="Arial"/>
          <w:b/>
          <w:sz w:val="24"/>
          <w:szCs w:val="10"/>
        </w:rPr>
      </w:pPr>
      <w:r w:rsidRPr="00CE13D3">
        <w:rPr>
          <w:rFonts w:asciiTheme="majorHAnsi" w:hAnsiTheme="majorHAnsi" w:cs="Arial"/>
          <w:b/>
          <w:sz w:val="24"/>
          <w:szCs w:val="10"/>
          <w:highlight w:val="lightGray"/>
        </w:rPr>
        <w:t>Zadanie/Część 1. Serwer</w:t>
      </w:r>
    </w:p>
    <w:p w14:paraId="6C9C0BAB" w14:textId="77777777" w:rsidR="00B35FDD" w:rsidRPr="007D1361" w:rsidRDefault="00B35FDD" w:rsidP="00B35FDD">
      <w:pPr>
        <w:spacing w:after="0" w:line="240" w:lineRule="auto"/>
        <w:jc w:val="center"/>
        <w:rPr>
          <w:rFonts w:asciiTheme="majorHAnsi" w:hAnsiTheme="majorHAnsi" w:cs="Arial"/>
          <w:b/>
          <w:sz w:val="10"/>
          <w:szCs w:val="10"/>
        </w:rPr>
      </w:pPr>
    </w:p>
    <w:tbl>
      <w:tblPr>
        <w:tblStyle w:val="Tabela-Siatka"/>
        <w:tblW w:w="161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1"/>
        <w:gridCol w:w="1776"/>
        <w:gridCol w:w="4224"/>
        <w:gridCol w:w="2693"/>
        <w:gridCol w:w="1417"/>
        <w:gridCol w:w="709"/>
        <w:gridCol w:w="1419"/>
        <w:gridCol w:w="1655"/>
        <w:gridCol w:w="1701"/>
      </w:tblGrid>
      <w:tr w:rsidR="00CE13D3" w:rsidRPr="007D1361" w14:paraId="24CB50AE" w14:textId="77777777" w:rsidTr="00CE13D3">
        <w:tc>
          <w:tcPr>
            <w:tcW w:w="521" w:type="dxa"/>
            <w:vAlign w:val="center"/>
          </w:tcPr>
          <w:p w14:paraId="39788D1E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Lp.</w:t>
            </w:r>
          </w:p>
        </w:tc>
        <w:tc>
          <w:tcPr>
            <w:tcW w:w="6000" w:type="dxa"/>
            <w:gridSpan w:val="2"/>
            <w:vAlign w:val="center"/>
          </w:tcPr>
          <w:p w14:paraId="60CA8440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 urządzenia</w:t>
            </w:r>
          </w:p>
        </w:tc>
        <w:tc>
          <w:tcPr>
            <w:tcW w:w="2693" w:type="dxa"/>
            <w:vAlign w:val="center"/>
          </w:tcPr>
          <w:p w14:paraId="5440689C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Nazwa, model, typ oferowanego urządzenia</w:t>
            </w:r>
          </w:p>
        </w:tc>
        <w:tc>
          <w:tcPr>
            <w:tcW w:w="1417" w:type="dxa"/>
            <w:vAlign w:val="center"/>
          </w:tcPr>
          <w:p w14:paraId="45FA0EF3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Okres gwarancyjny</w:t>
            </w:r>
          </w:p>
        </w:tc>
        <w:tc>
          <w:tcPr>
            <w:tcW w:w="709" w:type="dxa"/>
            <w:vAlign w:val="center"/>
          </w:tcPr>
          <w:p w14:paraId="251C57CC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Ilość</w:t>
            </w:r>
          </w:p>
        </w:tc>
        <w:tc>
          <w:tcPr>
            <w:tcW w:w="1419" w:type="dxa"/>
            <w:vAlign w:val="center"/>
          </w:tcPr>
          <w:p w14:paraId="4B60E694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Cena jednostkowa netto</w:t>
            </w:r>
          </w:p>
        </w:tc>
        <w:tc>
          <w:tcPr>
            <w:tcW w:w="1655" w:type="dxa"/>
            <w:vAlign w:val="center"/>
          </w:tcPr>
          <w:p w14:paraId="5F7AA1D1" w14:textId="77777777" w:rsid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Wartość</w:t>
            </w: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br/>
              <w:t>netto</w:t>
            </w:r>
          </w:p>
          <w:p w14:paraId="7E9EB7E6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(5X6)</w:t>
            </w:r>
          </w:p>
        </w:tc>
        <w:tc>
          <w:tcPr>
            <w:tcW w:w="1701" w:type="dxa"/>
            <w:vAlign w:val="center"/>
          </w:tcPr>
          <w:p w14:paraId="2A01DEC1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t>Wartość</w:t>
            </w:r>
            <w:r w:rsidRPr="007D1361">
              <w:rPr>
                <w:rFonts w:asciiTheme="majorHAnsi" w:hAnsiTheme="majorHAnsi" w:cs="Arial"/>
                <w:b/>
                <w:sz w:val="19"/>
                <w:szCs w:val="19"/>
              </w:rPr>
              <w:br/>
              <w:t>brutto</w:t>
            </w:r>
          </w:p>
        </w:tc>
      </w:tr>
      <w:tr w:rsidR="00CE13D3" w:rsidRPr="00CE13D3" w14:paraId="6618CE3F" w14:textId="77777777" w:rsidTr="00CE13D3">
        <w:tc>
          <w:tcPr>
            <w:tcW w:w="521" w:type="dxa"/>
          </w:tcPr>
          <w:p w14:paraId="26E2F064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1</w:t>
            </w:r>
          </w:p>
        </w:tc>
        <w:tc>
          <w:tcPr>
            <w:tcW w:w="6000" w:type="dxa"/>
            <w:gridSpan w:val="2"/>
          </w:tcPr>
          <w:p w14:paraId="6B2CE340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2</w:t>
            </w:r>
          </w:p>
        </w:tc>
        <w:tc>
          <w:tcPr>
            <w:tcW w:w="2693" w:type="dxa"/>
          </w:tcPr>
          <w:p w14:paraId="3416ED8F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3</w:t>
            </w:r>
          </w:p>
        </w:tc>
        <w:tc>
          <w:tcPr>
            <w:tcW w:w="1417" w:type="dxa"/>
          </w:tcPr>
          <w:p w14:paraId="6EA46296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4</w:t>
            </w:r>
          </w:p>
        </w:tc>
        <w:tc>
          <w:tcPr>
            <w:tcW w:w="709" w:type="dxa"/>
          </w:tcPr>
          <w:p w14:paraId="3366F3F4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5</w:t>
            </w:r>
          </w:p>
        </w:tc>
        <w:tc>
          <w:tcPr>
            <w:tcW w:w="1419" w:type="dxa"/>
            <w:vAlign w:val="center"/>
          </w:tcPr>
          <w:p w14:paraId="0FA99B01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6</w:t>
            </w:r>
          </w:p>
        </w:tc>
        <w:tc>
          <w:tcPr>
            <w:tcW w:w="1655" w:type="dxa"/>
          </w:tcPr>
          <w:p w14:paraId="78AC3426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7</w:t>
            </w:r>
          </w:p>
        </w:tc>
        <w:tc>
          <w:tcPr>
            <w:tcW w:w="1701" w:type="dxa"/>
          </w:tcPr>
          <w:p w14:paraId="01599E41" w14:textId="77777777" w:rsidR="00CE13D3" w:rsidRPr="00CE13D3" w:rsidRDefault="00CE13D3" w:rsidP="00507B23">
            <w:pPr>
              <w:jc w:val="center"/>
              <w:rPr>
                <w:rFonts w:asciiTheme="majorHAnsi" w:hAnsiTheme="majorHAnsi" w:cs="Arial"/>
                <w:b/>
                <w:i/>
                <w:sz w:val="19"/>
                <w:szCs w:val="19"/>
              </w:rPr>
            </w:pPr>
            <w:r w:rsidRPr="00CE13D3">
              <w:rPr>
                <w:rFonts w:asciiTheme="majorHAnsi" w:hAnsiTheme="majorHAnsi" w:cs="Arial"/>
                <w:b/>
                <w:i/>
                <w:sz w:val="19"/>
                <w:szCs w:val="19"/>
              </w:rPr>
              <w:t>8</w:t>
            </w:r>
          </w:p>
        </w:tc>
      </w:tr>
      <w:tr w:rsidR="00CE13D3" w:rsidRPr="007D1361" w14:paraId="709568C4" w14:textId="77777777" w:rsidTr="00CE13D3">
        <w:tc>
          <w:tcPr>
            <w:tcW w:w="521" w:type="dxa"/>
            <w:vMerge w:val="restart"/>
          </w:tcPr>
          <w:p w14:paraId="60AD2E4A" w14:textId="77777777" w:rsidR="00CE13D3" w:rsidRPr="007D1361" w:rsidRDefault="00CE13D3" w:rsidP="00507B23">
            <w:pPr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sz w:val="19"/>
                <w:szCs w:val="19"/>
              </w:rPr>
              <w:t>1</w:t>
            </w:r>
          </w:p>
        </w:tc>
        <w:tc>
          <w:tcPr>
            <w:tcW w:w="6000" w:type="dxa"/>
            <w:gridSpan w:val="2"/>
          </w:tcPr>
          <w:p w14:paraId="6ED5A54C" w14:textId="77777777" w:rsidR="00CE13D3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>
              <w:rPr>
                <w:rFonts w:asciiTheme="majorHAnsi" w:hAnsiTheme="majorHAnsi" w:cs="Arial"/>
                <w:b/>
                <w:sz w:val="19"/>
                <w:szCs w:val="19"/>
              </w:rPr>
              <w:t>SERWER</w:t>
            </w:r>
          </w:p>
          <w:p w14:paraId="15333B57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69782D47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426DF13B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sz w:val="19"/>
                <w:szCs w:val="19"/>
              </w:rPr>
              <w:t xml:space="preserve">Min. </w:t>
            </w:r>
            <w:r>
              <w:rPr>
                <w:rFonts w:asciiTheme="majorHAnsi" w:hAnsiTheme="majorHAnsi" w:cs="Arial"/>
                <w:sz w:val="19"/>
                <w:szCs w:val="19"/>
              </w:rPr>
              <w:t>36</w:t>
            </w:r>
            <w:r w:rsidRPr="007D1361">
              <w:rPr>
                <w:rFonts w:asciiTheme="majorHAnsi" w:hAnsiTheme="majorHAnsi" w:cs="Arial"/>
                <w:sz w:val="19"/>
                <w:szCs w:val="19"/>
              </w:rPr>
              <w:t xml:space="preserve"> miesięcy</w:t>
            </w:r>
            <w:r>
              <w:rPr>
                <w:rFonts w:asciiTheme="majorHAnsi" w:hAnsiTheme="majorHAnsi" w:cs="Arial"/>
                <w:sz w:val="19"/>
                <w:szCs w:val="19"/>
              </w:rPr>
              <w:t xml:space="preserve"> ON-SITE</w:t>
            </w:r>
          </w:p>
        </w:tc>
        <w:tc>
          <w:tcPr>
            <w:tcW w:w="709" w:type="dxa"/>
            <w:vAlign w:val="center"/>
          </w:tcPr>
          <w:p w14:paraId="0ECC489E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  <w:r w:rsidRPr="007D1361">
              <w:rPr>
                <w:rFonts w:asciiTheme="majorHAnsi" w:hAnsiTheme="majorHAnsi" w:cs="Arial"/>
                <w:sz w:val="19"/>
                <w:szCs w:val="19"/>
              </w:rPr>
              <w:t>1</w:t>
            </w:r>
          </w:p>
        </w:tc>
        <w:tc>
          <w:tcPr>
            <w:tcW w:w="1419" w:type="dxa"/>
            <w:vAlign w:val="center"/>
          </w:tcPr>
          <w:p w14:paraId="4E0A8341" w14:textId="77777777" w:rsidR="00CE13D3" w:rsidRPr="007D1361" w:rsidRDefault="00CE13D3" w:rsidP="00CE13D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655" w:type="dxa"/>
          </w:tcPr>
          <w:p w14:paraId="045A34C0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  <w:tc>
          <w:tcPr>
            <w:tcW w:w="1701" w:type="dxa"/>
          </w:tcPr>
          <w:p w14:paraId="13A65EF4" w14:textId="77777777" w:rsidR="00CE13D3" w:rsidRPr="007D1361" w:rsidRDefault="00CE13D3" w:rsidP="00507B23">
            <w:pPr>
              <w:jc w:val="center"/>
              <w:rPr>
                <w:rFonts w:asciiTheme="majorHAnsi" w:hAnsiTheme="majorHAnsi" w:cs="Arial"/>
                <w:b/>
                <w:sz w:val="19"/>
                <w:szCs w:val="19"/>
              </w:rPr>
            </w:pPr>
          </w:p>
        </w:tc>
      </w:tr>
      <w:tr w:rsidR="00CC449D" w:rsidRPr="007D1361" w14:paraId="4486738C" w14:textId="77777777" w:rsidTr="00137B59">
        <w:tc>
          <w:tcPr>
            <w:tcW w:w="521" w:type="dxa"/>
            <w:vMerge/>
          </w:tcPr>
          <w:p w14:paraId="2EE114E6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  <w:bookmarkStart w:id="0" w:name="_GoBack" w:colFirst="4" w:colLast="9"/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EB9266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Obudowa</w:t>
            </w:r>
          </w:p>
        </w:tc>
        <w:tc>
          <w:tcPr>
            <w:tcW w:w="4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75C1A89" w14:textId="77777777" w:rsidR="00CC449D" w:rsidRPr="00AF4D1F" w:rsidRDefault="00CC449D" w:rsidP="00CC449D">
            <w:pPr>
              <w:numPr>
                <w:ilvl w:val="0"/>
                <w:numId w:val="1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Typu RACK, wysokość nie więcej niż 2U;</w:t>
            </w:r>
          </w:p>
          <w:p w14:paraId="5372DE8C" w14:textId="77777777" w:rsidR="00CC449D" w:rsidRPr="00247A5B" w:rsidRDefault="00CC449D" w:rsidP="00CC449D">
            <w:pPr>
              <w:numPr>
                <w:ilvl w:val="0"/>
                <w:numId w:val="1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Szyny umożliwiające wysunięcie serwera z szafy stelażowej;</w:t>
            </w:r>
          </w:p>
        </w:tc>
        <w:tc>
          <w:tcPr>
            <w:tcW w:w="2693" w:type="dxa"/>
          </w:tcPr>
          <w:p w14:paraId="78D08676" w14:textId="7B8A9B1B" w:rsidR="00CC449D" w:rsidRPr="00896A31" w:rsidRDefault="00CC449D" w:rsidP="00CC449D">
            <w:pPr>
              <w:jc w:val="center"/>
              <w:rPr>
                <w:rFonts w:asciiTheme="majorHAnsi" w:hAnsiTheme="majorHAnsi" w:cs="Arial"/>
                <w:sz w:val="30"/>
                <w:szCs w:val="30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72C34264" w14:textId="5E582756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7D6FB53" w14:textId="7083501D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1D7488E1" w14:textId="1B4F38DD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1AB3DE88" w14:textId="052F0B11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016CC321" w14:textId="6E21517F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1A730818" w14:textId="77777777" w:rsidTr="00137B59">
        <w:tc>
          <w:tcPr>
            <w:tcW w:w="521" w:type="dxa"/>
            <w:vMerge/>
          </w:tcPr>
          <w:p w14:paraId="750BA24A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DF3C8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Płyta główna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5E2615" w14:textId="77777777" w:rsidR="00CC449D" w:rsidRPr="00247A5B" w:rsidRDefault="00CC449D" w:rsidP="00CC449D">
            <w:pPr>
              <w:numPr>
                <w:ilvl w:val="0"/>
                <w:numId w:val="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Dwuprocesorowa;</w:t>
            </w:r>
          </w:p>
          <w:p w14:paraId="73E7D914" w14:textId="77777777" w:rsidR="00CC449D" w:rsidRPr="00247A5B" w:rsidRDefault="00CC449D" w:rsidP="00CC449D">
            <w:pPr>
              <w:numPr>
                <w:ilvl w:val="0"/>
                <w:numId w:val="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Wyprodukowana i zaprojektowana przez producenta serwera</w:t>
            </w:r>
          </w:p>
          <w:p w14:paraId="207FD239" w14:textId="77777777" w:rsidR="00CC449D" w:rsidRPr="00247A5B" w:rsidRDefault="00CC449D" w:rsidP="00CC449D">
            <w:pPr>
              <w:numPr>
                <w:ilvl w:val="0"/>
                <w:numId w:val="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6 złącz PCI Express generacji 3 w tym:</w:t>
            </w:r>
          </w:p>
          <w:p w14:paraId="62B09538" w14:textId="77777777" w:rsidR="00CC449D" w:rsidRPr="00247A5B" w:rsidRDefault="00CC449D" w:rsidP="00CC449D">
            <w:pPr>
              <w:numPr>
                <w:ilvl w:val="1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3 złącza o prędkości x16;</w:t>
            </w:r>
          </w:p>
          <w:p w14:paraId="2B596E3F" w14:textId="77777777" w:rsidR="00CC449D" w:rsidRPr="00247A5B" w:rsidRDefault="00CC449D" w:rsidP="00CC449D">
            <w:pPr>
              <w:numPr>
                <w:ilvl w:val="1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3 złącza o prędkości x8;</w:t>
            </w:r>
          </w:p>
          <w:p w14:paraId="20E725C1" w14:textId="77777777" w:rsidR="00CC449D" w:rsidRPr="00247A5B" w:rsidRDefault="00CC449D" w:rsidP="00CC449D">
            <w:pPr>
              <w:numPr>
                <w:ilvl w:val="0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12 gniazd pamięci RAM;</w:t>
            </w:r>
          </w:p>
          <w:p w14:paraId="5EA01FCC" w14:textId="77777777" w:rsidR="00CC449D" w:rsidRPr="00247A5B" w:rsidRDefault="00CC449D" w:rsidP="00CC449D">
            <w:pPr>
              <w:numPr>
                <w:ilvl w:val="0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Obsługa minimum 768GB pamięci RAM;</w:t>
            </w:r>
          </w:p>
          <w:p w14:paraId="3FF0C846" w14:textId="77777777" w:rsidR="00CC449D" w:rsidRPr="00247A5B" w:rsidRDefault="00CC449D" w:rsidP="00CC449D">
            <w:pPr>
              <w:numPr>
                <w:ilvl w:val="0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Możliwość zainstalowania modułu TPM;</w:t>
            </w:r>
          </w:p>
          <w:p w14:paraId="1340063D" w14:textId="77777777" w:rsidR="00CC449D" w:rsidRPr="00247A5B" w:rsidRDefault="00CC449D" w:rsidP="00CC449D">
            <w:pPr>
              <w:numPr>
                <w:ilvl w:val="0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Wsparcie dla technologii: Wsparcie dla technologii:</w:t>
            </w:r>
          </w:p>
          <w:p w14:paraId="1A3C1FB7" w14:textId="77777777" w:rsidR="00CC449D" w:rsidRPr="00247A5B" w:rsidRDefault="00CC449D" w:rsidP="00CC449D">
            <w:pPr>
              <w:numPr>
                <w:ilvl w:val="1"/>
                <w:numId w:val="3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Memory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Scrubbing</w:t>
            </w:r>
            <w:proofErr w:type="spellEnd"/>
          </w:p>
          <w:p w14:paraId="0F9962E2" w14:textId="77777777" w:rsidR="00CC449D" w:rsidRPr="00635CB7" w:rsidRDefault="00CC449D" w:rsidP="00CC449D">
            <w:pPr>
              <w:numPr>
                <w:ilvl w:val="1"/>
                <w:numId w:val="3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SDDC</w:t>
            </w:r>
          </w:p>
          <w:p w14:paraId="0A7342CF" w14:textId="77777777" w:rsidR="00CC449D" w:rsidRPr="00247A5B" w:rsidRDefault="00CC449D" w:rsidP="00CC449D">
            <w:pPr>
              <w:numPr>
                <w:ilvl w:val="1"/>
                <w:numId w:val="3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Advanced ECC</w:t>
            </w:r>
          </w:p>
        </w:tc>
        <w:tc>
          <w:tcPr>
            <w:tcW w:w="2693" w:type="dxa"/>
          </w:tcPr>
          <w:p w14:paraId="02D6B65A" w14:textId="6DBCFCB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21E4230" w14:textId="76E9FC29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5DDDD459" w14:textId="78A54C90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222851EA" w14:textId="49453141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7FDB4C4E" w14:textId="78C83EF3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1B0B456C" w14:textId="0F407677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2458834A" w14:textId="77777777" w:rsidTr="00137B59">
        <w:tc>
          <w:tcPr>
            <w:tcW w:w="521" w:type="dxa"/>
            <w:vMerge/>
          </w:tcPr>
          <w:p w14:paraId="4A0A3B9D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DC709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Procesory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E9654F" w14:textId="77777777" w:rsidR="00CC449D" w:rsidRPr="00247A5B" w:rsidRDefault="00CC449D" w:rsidP="00CC449D">
            <w:pPr>
              <w:numPr>
                <w:ilvl w:val="0"/>
                <w:numId w:val="4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dwa procesory 16-rdzeniowe</w:t>
            </w:r>
          </w:p>
          <w:p w14:paraId="64E054A6" w14:textId="77777777" w:rsidR="00CC449D" w:rsidRPr="00247A5B" w:rsidRDefault="00CC449D" w:rsidP="00CC449D">
            <w:pPr>
              <w:numPr>
                <w:ilvl w:val="0"/>
                <w:numId w:val="4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architektura x86_64</w:t>
            </w:r>
          </w:p>
          <w:p w14:paraId="0D1C530D" w14:textId="77777777" w:rsidR="00CC449D" w:rsidRPr="00635CB7" w:rsidRDefault="00CC449D" w:rsidP="00CC449D">
            <w:pPr>
              <w:numPr>
                <w:ilvl w:val="0"/>
                <w:numId w:val="4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Taktowanie bazowe 2,3GHz</w:t>
            </w:r>
          </w:p>
          <w:p w14:paraId="12AADF09" w14:textId="77777777" w:rsidR="00CC449D" w:rsidRPr="00247A5B" w:rsidRDefault="00CC449D" w:rsidP="00CC449D">
            <w:pPr>
              <w:numPr>
                <w:ilvl w:val="0"/>
                <w:numId w:val="4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22MB pamięci cache</w:t>
            </w:r>
          </w:p>
        </w:tc>
        <w:tc>
          <w:tcPr>
            <w:tcW w:w="2693" w:type="dxa"/>
          </w:tcPr>
          <w:p w14:paraId="403B106C" w14:textId="063763A7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34F1C2E5" w14:textId="097B9CA5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9CEA5DB" w14:textId="78771D08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47BD9428" w14:textId="7E7F629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4EE994F4" w14:textId="3523DDD3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20426FC" w14:textId="370D7A7D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2E5F01F8" w14:textId="77777777" w:rsidTr="00137B59">
        <w:tc>
          <w:tcPr>
            <w:tcW w:w="521" w:type="dxa"/>
            <w:vMerge/>
          </w:tcPr>
          <w:p w14:paraId="72B17D87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29A778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Pamięć RAM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0A7126" w14:textId="77777777" w:rsidR="00CC449D" w:rsidRPr="00247A5B" w:rsidRDefault="00CC449D" w:rsidP="00CC449D">
            <w:pPr>
              <w:numPr>
                <w:ilvl w:val="0"/>
                <w:numId w:val="5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64 GB pamięci RAM</w:t>
            </w:r>
          </w:p>
          <w:p w14:paraId="0EA38E62" w14:textId="77777777" w:rsidR="00CC449D" w:rsidRPr="00635CB7" w:rsidRDefault="00CC449D" w:rsidP="00CC449D">
            <w:pPr>
              <w:numPr>
                <w:ilvl w:val="0"/>
                <w:numId w:val="5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DDR4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Registered</w:t>
            </w:r>
            <w:proofErr w:type="spellEnd"/>
          </w:p>
          <w:p w14:paraId="3399F555" w14:textId="77777777" w:rsidR="00CC449D" w:rsidRPr="00247A5B" w:rsidRDefault="00CC449D" w:rsidP="00CC449D">
            <w:pPr>
              <w:numPr>
                <w:ilvl w:val="0"/>
                <w:numId w:val="5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2933Mhz</w:t>
            </w:r>
          </w:p>
        </w:tc>
        <w:tc>
          <w:tcPr>
            <w:tcW w:w="2693" w:type="dxa"/>
          </w:tcPr>
          <w:p w14:paraId="34658C68" w14:textId="1B891865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36C8330B" w14:textId="66352135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95B0EDA" w14:textId="0CA1AB54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7555A393" w14:textId="77F5AB0B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71712B32" w14:textId="3C01B0B5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1D93137A" w14:textId="1B20DD49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20048CB6" w14:textId="77777777" w:rsidTr="00137B59">
        <w:tc>
          <w:tcPr>
            <w:tcW w:w="521" w:type="dxa"/>
            <w:vMerge/>
          </w:tcPr>
          <w:p w14:paraId="0DDB47FC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54D90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Dyski twarde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5D5DF0" w14:textId="77777777" w:rsidR="00CC449D" w:rsidRPr="00635CB7" w:rsidRDefault="00CC449D" w:rsidP="00CC449D">
            <w:pPr>
              <w:numPr>
                <w:ilvl w:val="0"/>
                <w:numId w:val="6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Minimum 8 wnęk dla dysków twardych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Hotplug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3,5”;</w:t>
            </w:r>
          </w:p>
          <w:p w14:paraId="4DE984BF" w14:textId="77777777" w:rsidR="00CC449D" w:rsidRPr="00247A5B" w:rsidRDefault="00CC449D" w:rsidP="00CC449D">
            <w:pPr>
              <w:numPr>
                <w:ilvl w:val="0"/>
                <w:numId w:val="6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Zainstalowane 5 dysków SAS 12G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1,2TB HOT PLUG 3.5”</w:t>
            </w:r>
          </w:p>
        </w:tc>
        <w:tc>
          <w:tcPr>
            <w:tcW w:w="2693" w:type="dxa"/>
          </w:tcPr>
          <w:p w14:paraId="129674F2" w14:textId="7579A2FF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31112E6C" w14:textId="1F47E218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7B2EBC26" w14:textId="31366CE4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4AF4F29E" w14:textId="26AFB8C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320C7822" w14:textId="27E4ED6B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236976F0" w14:textId="56D6051F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3BFD7CE5" w14:textId="77777777" w:rsidTr="00137B59">
        <w:tc>
          <w:tcPr>
            <w:tcW w:w="521" w:type="dxa"/>
            <w:vMerge/>
          </w:tcPr>
          <w:p w14:paraId="6996EC72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F9B272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Napędy optyczne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3FA1DF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Zainstalowany napęd DVD-RW</w:t>
            </w:r>
          </w:p>
        </w:tc>
        <w:tc>
          <w:tcPr>
            <w:tcW w:w="2693" w:type="dxa"/>
          </w:tcPr>
          <w:p w14:paraId="5731B569" w14:textId="566EF557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9096F56" w14:textId="23B98584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6A010930" w14:textId="0FFC2339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44CA5333" w14:textId="3E4FDCBE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20E6A06C" w14:textId="1474D74C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4AA5215B" w14:textId="6B8F5AAA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0F885095" w14:textId="77777777" w:rsidTr="00137B59">
        <w:tc>
          <w:tcPr>
            <w:tcW w:w="521" w:type="dxa"/>
            <w:vMerge/>
          </w:tcPr>
          <w:p w14:paraId="06AD390F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29C16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Kontrolery LAN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DAD534" w14:textId="77777777" w:rsidR="00CC449D" w:rsidRPr="00635CB7" w:rsidRDefault="00CC449D" w:rsidP="00CC449D">
            <w:pPr>
              <w:numPr>
                <w:ilvl w:val="0"/>
                <w:numId w:val="6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Trwale zintegrowana karta LAN, nie zajmująca żadnego z dostępnych slotów PCI Express, wyposażona minimum w interfejsy: 2x 1Gbit Base-T ze wsparciem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iSCSI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i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iSCSI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boot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;</w:t>
            </w:r>
          </w:p>
          <w:p w14:paraId="5F32043B" w14:textId="77777777" w:rsidR="00CC449D" w:rsidRPr="00247A5B" w:rsidRDefault="00CC449D" w:rsidP="00CC449D">
            <w:pPr>
              <w:numPr>
                <w:ilvl w:val="0"/>
                <w:numId w:val="6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Karta LAN wyposażona minimum w interfejsy 2x 1Gbit Base-T</w:t>
            </w:r>
          </w:p>
        </w:tc>
        <w:tc>
          <w:tcPr>
            <w:tcW w:w="2693" w:type="dxa"/>
          </w:tcPr>
          <w:p w14:paraId="1CD92B32" w14:textId="79C6E93D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525AD5E2" w14:textId="1F43E7C8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01CC2C34" w14:textId="56E0049E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10C865FD" w14:textId="18D43EF1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72FD5CFF" w14:textId="617445A4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CE59B6B" w14:textId="759614E1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5F639D10" w14:textId="77777777" w:rsidTr="00137B59">
        <w:tc>
          <w:tcPr>
            <w:tcW w:w="521" w:type="dxa"/>
            <w:vMerge/>
          </w:tcPr>
          <w:p w14:paraId="7B882F94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963D99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Kontrolery I/O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C5E1BC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Możliwość zainstalowania kontrolera RAID obsługującego dyski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NVMe</w:t>
            </w:r>
            <w:proofErr w:type="spellEnd"/>
          </w:p>
          <w:p w14:paraId="6A71CA40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Możliwość zainstalowania dwóch nośników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flash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o pojemności 64GB w konfiguracji RAID-1 rozwiązanie dedykowane dla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hypervisora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oraz niezajmujące zatok dla dysków hot-plug</w:t>
            </w:r>
          </w:p>
          <w:p w14:paraId="2A68FB1A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Kontroler RAID dla wewnętrznych dysków twardych posiadający 2GB pamięci z modułem potrzymania pamięci/nieulotną pamięcią, obsługujący poziomy RAID:</w:t>
            </w:r>
          </w:p>
          <w:p w14:paraId="1875E5F8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0</w:t>
            </w:r>
          </w:p>
          <w:p w14:paraId="7E04268B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1</w:t>
            </w:r>
          </w:p>
          <w:p w14:paraId="00479F55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10</w:t>
            </w:r>
          </w:p>
          <w:p w14:paraId="56B824AB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5</w:t>
            </w:r>
          </w:p>
          <w:p w14:paraId="71639514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50</w:t>
            </w:r>
          </w:p>
          <w:p w14:paraId="145B0A24" w14:textId="77777777" w:rsidR="00CC449D" w:rsidRPr="00635CB7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6</w:t>
            </w:r>
          </w:p>
          <w:p w14:paraId="03A0D3E2" w14:textId="77777777" w:rsidR="00CC449D" w:rsidRPr="00247A5B" w:rsidRDefault="00CC449D" w:rsidP="00CC449D">
            <w:pPr>
              <w:numPr>
                <w:ilvl w:val="1"/>
                <w:numId w:val="7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60</w:t>
            </w:r>
          </w:p>
        </w:tc>
        <w:tc>
          <w:tcPr>
            <w:tcW w:w="2693" w:type="dxa"/>
          </w:tcPr>
          <w:p w14:paraId="4BED3F8C" w14:textId="5EEEB2CF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67ABAB68" w14:textId="0B1F9A6F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3FDBB4E9" w14:textId="6B1E031A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6AB81959" w14:textId="217F55D4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33B148D8" w14:textId="44A085E9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33445452" w14:textId="19ABF5F3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10C4AE2E" w14:textId="77777777" w:rsidTr="00137B59">
        <w:tc>
          <w:tcPr>
            <w:tcW w:w="521" w:type="dxa"/>
            <w:vMerge/>
          </w:tcPr>
          <w:p w14:paraId="0B8D4F66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2BB4B3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Porty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C01D27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Zintegrowana karta graficzna ze złączem VGA z tyłu serwera;</w:t>
            </w:r>
          </w:p>
          <w:p w14:paraId="4F2B511C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2 porty USB 3.0 na panelu przednim;</w:t>
            </w:r>
          </w:p>
          <w:p w14:paraId="4BD38766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1 port USB 3.0 wewnętrzny;</w:t>
            </w:r>
          </w:p>
          <w:p w14:paraId="0CFE20EF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4 porty USB 3.0 dostępne z tyłu serwera;</w:t>
            </w:r>
          </w:p>
          <w:p w14:paraId="0C42323D" w14:textId="77777777" w:rsidR="00CC449D" w:rsidRPr="00247A5B" w:rsidRDefault="00CC449D" w:rsidP="00CC449D">
            <w:pPr>
              <w:numPr>
                <w:ilvl w:val="0"/>
                <w:numId w:val="7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1 port serial/RS232</w:t>
            </w:r>
          </w:p>
          <w:p w14:paraId="628E1797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Ilość dostępnych złącz USB nie może być osiągnięta poprzez stosowanie zewnętrznych przejściówek, rozgałęziaczy czy dodatkowych kart rozszerzeń zajmujących jakikolwiek slot PCI Express i/lub USB serwera;</w:t>
            </w:r>
          </w:p>
        </w:tc>
        <w:tc>
          <w:tcPr>
            <w:tcW w:w="2693" w:type="dxa"/>
          </w:tcPr>
          <w:p w14:paraId="002BD600" w14:textId="064E8D8A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323A8E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2CBD5ED2" w14:textId="56743F55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77EB6731" w14:textId="7969F740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1CE2C747" w14:textId="2D0C7B49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4303A7AA" w14:textId="5D3E139C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7E43F96C" w14:textId="750728A4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7F6B0BC9" w14:textId="77777777" w:rsidTr="00137B59">
        <w:tc>
          <w:tcPr>
            <w:tcW w:w="521" w:type="dxa"/>
            <w:vMerge/>
          </w:tcPr>
          <w:p w14:paraId="645ADD9F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4FE79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Zasilanie, chłodzenie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D3160A" w14:textId="77777777" w:rsidR="00CC449D" w:rsidRPr="00635CB7" w:rsidRDefault="00CC449D" w:rsidP="00CC449D">
            <w:pPr>
              <w:numPr>
                <w:ilvl w:val="0"/>
                <w:numId w:val="8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Dwa zasilacze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hotplug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o sprawności 94%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tzw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klasa Platinum) o mocy 450W, możliwość uzyskania redundancji zasilania</w:t>
            </w:r>
          </w:p>
          <w:p w14:paraId="16014C4F" w14:textId="77777777" w:rsidR="00CC449D" w:rsidRPr="00247A5B" w:rsidRDefault="00CC449D" w:rsidP="00CC449D">
            <w:pPr>
              <w:numPr>
                <w:ilvl w:val="0"/>
                <w:numId w:val="8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Redundantne wentylatory;</w:t>
            </w:r>
          </w:p>
        </w:tc>
        <w:tc>
          <w:tcPr>
            <w:tcW w:w="2693" w:type="dxa"/>
          </w:tcPr>
          <w:p w14:paraId="4AD941E6" w14:textId="25A542D2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BC1EE2C" w14:textId="44AE83C2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29DACAC1" w14:textId="713F475C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49A10D81" w14:textId="52E26E1E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428FDAF7" w14:textId="31832AF4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23D00C0D" w14:textId="2EAF12B7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48BBF438" w14:textId="77777777" w:rsidTr="00137B59">
        <w:tc>
          <w:tcPr>
            <w:tcW w:w="521" w:type="dxa"/>
            <w:vMerge/>
          </w:tcPr>
          <w:p w14:paraId="48B01FA5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AE013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Zarządzanie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32F84B" w14:textId="77777777" w:rsidR="00CC449D" w:rsidRPr="00247A5B" w:rsidRDefault="00CC449D" w:rsidP="00CC449D">
            <w:pPr>
              <w:numPr>
                <w:ilvl w:val="0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Wbudowane diody informacyjne lub wyświetlacz informujące o stanie serwera;</w:t>
            </w:r>
          </w:p>
          <w:p w14:paraId="096C225A" w14:textId="77777777" w:rsidR="00CC449D" w:rsidRPr="00247A5B" w:rsidRDefault="00CC449D" w:rsidP="00CC449D">
            <w:pPr>
              <w:numPr>
                <w:ilvl w:val="0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Zintegrowany z płytą główną serwera kontroler sprzętowy zdalnego zarządzania zgodny z IPMI 2.0 o funkcjonalnościach:</w:t>
            </w:r>
          </w:p>
          <w:p w14:paraId="146E86A7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Niezależny od systemu operacyjnego, sprzętowy kontroler umożliwiający pełne zarządzanie, zdalny restart serwera;</w:t>
            </w:r>
          </w:p>
          <w:p w14:paraId="6F3071BB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Dedykowana karta LAN 1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Gb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/s, dedykowane złącze RJ-45 do komunikacji wyłącznie z kontrolerem zdalnego zarządzania z możliwością przeniesienia tej komunikacji na inną kartę sieciową współdzieloną z systemem operacyjnym;</w:t>
            </w:r>
          </w:p>
          <w:p w14:paraId="30881490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Dostęp poprzez przeglądarkę Web, SSH;</w:t>
            </w:r>
          </w:p>
          <w:p w14:paraId="6F899514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Zarządzanie mocą i jej zużyciem oraz monitoring zużycia energii;</w:t>
            </w:r>
          </w:p>
          <w:p w14:paraId="0C290606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Zarządzanie alarmami (zdarzenia poprzez SNMP)</w:t>
            </w:r>
          </w:p>
          <w:p w14:paraId="1CD8BB12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Możliwość przejęcia konsoli tekstowej</w:t>
            </w:r>
          </w:p>
          <w:p w14:paraId="418D5F6E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Możliwość zarządzania przez 6 administratorów jednocześnie</w:t>
            </w:r>
          </w:p>
          <w:p w14:paraId="6792DA26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Przekierowanie konsoli graficznej na poziomie sprzętowym oraz możliwość montowania zdalnych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napędów i ich obrazów na poziomie sprzętowym (cyfrowy KVM)</w:t>
            </w:r>
          </w:p>
          <w:p w14:paraId="07C7BFD2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Obsługa serwerów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proxy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(autentykacja)</w:t>
            </w:r>
          </w:p>
          <w:p w14:paraId="151690DE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Obsługa VLAN</w:t>
            </w:r>
          </w:p>
          <w:p w14:paraId="1DC04342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Możliwość konfiguracji parametru Max.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Transmission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Unit (MTU)</w:t>
            </w:r>
          </w:p>
          <w:p w14:paraId="73E0EDB3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Wsparcie dla protokołu SSDP</w:t>
            </w:r>
          </w:p>
          <w:p w14:paraId="170BEB1C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Obsługa protokołów TLS 1.0, TLS 1.1, TLS 1.2, SSL v3</w:t>
            </w:r>
          </w:p>
          <w:p w14:paraId="3F47470C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Obsługa protokołu LDAP</w:t>
            </w:r>
          </w:p>
          <w:p w14:paraId="2C7D61D7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Integracja z HP SIM</w:t>
            </w:r>
          </w:p>
          <w:p w14:paraId="611F3DB6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Synchronizacja czasu poprzez protokół NTP</w:t>
            </w:r>
          </w:p>
          <w:p w14:paraId="068F4956" w14:textId="77777777" w:rsidR="00CC449D" w:rsidRPr="00247A5B" w:rsidRDefault="00CC449D" w:rsidP="00CC449D">
            <w:pPr>
              <w:numPr>
                <w:ilvl w:val="1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Możliwość backupu i odtworzenia ustawień bios serwera oraz ustawień karty zarządzającej</w:t>
            </w:r>
          </w:p>
          <w:p w14:paraId="41FD1008" w14:textId="77777777" w:rsidR="00CC449D" w:rsidRPr="00247A5B" w:rsidRDefault="00CC449D" w:rsidP="00CC449D">
            <w:pPr>
              <w:numPr>
                <w:ilvl w:val="0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14:paraId="245CC7B1" w14:textId="77777777" w:rsidR="00CC449D" w:rsidRPr="00247A5B" w:rsidRDefault="00CC449D" w:rsidP="00CC449D">
            <w:pPr>
              <w:numPr>
                <w:ilvl w:val="0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Dedykowana, wbudowana w kartę zarządzającą (lub zainstalowana) pamięć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flash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o pojemności minimum 16 GB;</w:t>
            </w:r>
          </w:p>
          <w:p w14:paraId="1665A167" w14:textId="77777777" w:rsidR="00CC449D" w:rsidRPr="00247A5B" w:rsidRDefault="00CC449D" w:rsidP="00CC449D">
            <w:pPr>
              <w:numPr>
                <w:ilvl w:val="0"/>
                <w:numId w:val="9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Możliwość zdalnej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reinstalacji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systemu lub aplikacji z obrazów zainstalowanych w obrębie dedykowanej pamięci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flash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bez użytkowania zewnętrznych nośników lub kopiowania danych poprzez sieć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LAN;</w:t>
            </w:r>
          </w:p>
          <w:p w14:paraId="53EDA690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Serwer posiada możliwość konfiguracji i wykonania aktualizacji BIOS,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Firmware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, sterowników serwera bezpośrednio z GUI (graficzny interfejs) karty zarządzającej serwera bez pośrednictwa innych nośników zewnętrznych i wewnętrznych poza obrębem karty zarządzającej.</w:t>
            </w:r>
          </w:p>
        </w:tc>
        <w:tc>
          <w:tcPr>
            <w:tcW w:w="2693" w:type="dxa"/>
          </w:tcPr>
          <w:p w14:paraId="5F1BBA5A" w14:textId="5E91F897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45C8F8F2" w14:textId="7601882F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A03251E" w14:textId="23A19108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75B3DB7E" w14:textId="53A7637E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0FF86AAF" w14:textId="10139FF8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4821836E" w14:textId="0D6DC921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51DF8F6E" w14:textId="77777777" w:rsidTr="00137B59">
        <w:tc>
          <w:tcPr>
            <w:tcW w:w="521" w:type="dxa"/>
            <w:vMerge/>
          </w:tcPr>
          <w:p w14:paraId="6D94D957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2C603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Wspierane OS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5307AE" w14:textId="77777777" w:rsidR="00CC449D" w:rsidRPr="00247A5B" w:rsidRDefault="00CC449D" w:rsidP="00CC449D">
            <w:pPr>
              <w:numPr>
                <w:ilvl w:val="0"/>
                <w:numId w:val="10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  <w:lang w:val="en-US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>Microsoft Windows Server 2019, 2016</w:t>
            </w:r>
          </w:p>
          <w:p w14:paraId="665A6698" w14:textId="77777777" w:rsidR="00CC449D" w:rsidRPr="00247A5B" w:rsidRDefault="00CC449D" w:rsidP="00CC449D">
            <w:pPr>
              <w:numPr>
                <w:ilvl w:val="0"/>
                <w:numId w:val="10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  <w:lang w:val="en-US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>VMWare vSphere 6.7</w:t>
            </w:r>
          </w:p>
          <w:p w14:paraId="351EB188" w14:textId="77777777" w:rsidR="00CC449D" w:rsidRPr="00247A5B" w:rsidRDefault="00CC449D" w:rsidP="00CC449D">
            <w:pPr>
              <w:numPr>
                <w:ilvl w:val="0"/>
                <w:numId w:val="10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  <w:lang w:val="en-US"/>
              </w:rPr>
            </w:pP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>Suse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 xml:space="preserve"> Linux Enterprise Server 12</w:t>
            </w:r>
          </w:p>
          <w:p w14:paraId="758D7FDA" w14:textId="77777777" w:rsidR="00CC449D" w:rsidRPr="00635CB7" w:rsidRDefault="00CC449D" w:rsidP="00CC449D">
            <w:pPr>
              <w:numPr>
                <w:ilvl w:val="0"/>
                <w:numId w:val="10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>Red Hat Enterprise Linux 7</w:t>
            </w:r>
          </w:p>
          <w:p w14:paraId="506EB90B" w14:textId="77777777" w:rsidR="00CC449D" w:rsidRPr="00247A5B" w:rsidRDefault="00CC449D" w:rsidP="00CC449D">
            <w:pPr>
              <w:numPr>
                <w:ilvl w:val="0"/>
                <w:numId w:val="10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>Univention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  <w:lang w:val="en-US"/>
              </w:rPr>
              <w:t xml:space="preserve"> Corporate Server 4</w:t>
            </w:r>
          </w:p>
        </w:tc>
        <w:tc>
          <w:tcPr>
            <w:tcW w:w="2693" w:type="dxa"/>
          </w:tcPr>
          <w:p w14:paraId="42BDB5BC" w14:textId="4E40905A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02F1C5DE" w14:textId="33D263B1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10407D97" w14:textId="08459615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151EB638" w14:textId="57A0B682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56413AD7" w14:textId="5BECB1F4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1F7B224C" w14:textId="47C9B7E0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0E13AA41" w14:textId="77777777" w:rsidTr="00137B59">
        <w:tc>
          <w:tcPr>
            <w:tcW w:w="521" w:type="dxa"/>
            <w:vMerge/>
          </w:tcPr>
          <w:p w14:paraId="088E564A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11ADD" w14:textId="77777777" w:rsidR="00CC449D" w:rsidRPr="00247A5B" w:rsidRDefault="00CC449D" w:rsidP="00CC449D">
            <w:pPr>
              <w:pStyle w:val="Bezodstpw"/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Gwarancja</w:t>
            </w:r>
          </w:p>
          <w:p w14:paraId="74C08326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74341B" w14:textId="77777777" w:rsidR="00CC449D" w:rsidRPr="00247A5B" w:rsidRDefault="00CC449D" w:rsidP="00CC449D">
            <w:pPr>
              <w:numPr>
                <w:ilvl w:val="0"/>
                <w:numId w:val="11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Min. 3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lat</w:t>
            </w:r>
            <w:r>
              <w:rPr>
                <w:rFonts w:asciiTheme="majorHAnsi" w:hAnsiTheme="majorHAnsi" w:cs="Calibri Light"/>
                <w:sz w:val="20"/>
                <w:szCs w:val="20"/>
              </w:rPr>
              <w:t>a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gwarancji producenta serwera w trybie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onsite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z gwarantowanym przyjazdem do miejsca użytkowania sprzętu certyfikowanego przez producenta pracownika serwisu do końca następnego dnia roboczego;</w:t>
            </w:r>
          </w:p>
          <w:p w14:paraId="3CFFA77B" w14:textId="77777777" w:rsidR="00CC449D" w:rsidRPr="00247A5B" w:rsidRDefault="00CC449D" w:rsidP="00CC449D">
            <w:pPr>
              <w:numPr>
                <w:ilvl w:val="0"/>
                <w:numId w:val="11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Zgłaszanie usterek i awarii sprzętowych poprzez automatyczne założenie zgłoszenia w systemie helpdesk/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servicedesk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producenta sprzętu;</w:t>
            </w:r>
          </w:p>
          <w:p w14:paraId="36C8F1F3" w14:textId="77777777" w:rsidR="00CC449D" w:rsidRPr="00247A5B" w:rsidRDefault="00CC449D" w:rsidP="00CC449D">
            <w:pPr>
              <w:numPr>
                <w:ilvl w:val="0"/>
                <w:numId w:val="11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Firma serwisująca musi posiadać ISO 9001:2000 na świadczenie usług serwisowych;</w:t>
            </w:r>
          </w:p>
          <w:p w14:paraId="55F6D011" w14:textId="77777777" w:rsidR="00CC449D" w:rsidRPr="00635CB7" w:rsidRDefault="00CC449D" w:rsidP="00CC449D">
            <w:pPr>
              <w:numPr>
                <w:ilvl w:val="0"/>
                <w:numId w:val="11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Bezpłatna dostępność poprawek i aktualizacji BIOS/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Firmware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/sterowników dożywotnio dla oferowanego serwera – jeżeli funkcjonalność ta wymaga dodatkowego serwisu lub licencji producenta serwera, takowy element musi być uwzględniona w ofercie;</w:t>
            </w:r>
          </w:p>
          <w:p w14:paraId="7898FF61" w14:textId="77777777" w:rsidR="00CC449D" w:rsidRPr="00247A5B" w:rsidRDefault="00CC449D" w:rsidP="00CC449D">
            <w:pPr>
              <w:numPr>
                <w:ilvl w:val="0"/>
                <w:numId w:val="11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Możliwość odpłatnego wydłużenia gwarancji producenta do 7 lat w trybie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onsite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z gwarantowanym skutecznym zakończeniem naprawy serwera najpóźniej w następnym dniu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roboczym od zgłoszenia usterki (podać koszt na dzień składania oferty);</w:t>
            </w:r>
          </w:p>
        </w:tc>
        <w:tc>
          <w:tcPr>
            <w:tcW w:w="2693" w:type="dxa"/>
          </w:tcPr>
          <w:p w14:paraId="208A18F6" w14:textId="5CCD8354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</w:tcPr>
          <w:p w14:paraId="6CEC5E6B" w14:textId="29475771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42EF32E5" w14:textId="709B639D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6D805720" w14:textId="4B867BFB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6F9B61F4" w14:textId="2273B4B6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3709CD3F" w14:textId="209FF1C1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102BA9AB" w14:textId="77777777" w:rsidTr="00137B59">
        <w:tc>
          <w:tcPr>
            <w:tcW w:w="521" w:type="dxa"/>
            <w:vMerge/>
          </w:tcPr>
          <w:p w14:paraId="23773437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AE917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Dokumentacja, inne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6CD94B" w14:textId="77777777" w:rsidR="00CC449D" w:rsidRPr="00247A5B" w:rsidRDefault="00CC449D" w:rsidP="00CC449D">
            <w:pPr>
              <w:numPr>
                <w:ilvl w:val="0"/>
                <w:numId w:val="1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Elementy, z których zbudowane są serwery muszą być produktami producenta tych serwerów lub być przez niego certyfikowane oraz całe muszą być objęte gwarancją producenta, o wymaganym w specyfikacji poziomie SLA – wymaganie oświadczenie wykonawcy;</w:t>
            </w:r>
          </w:p>
          <w:p w14:paraId="08D8E618" w14:textId="77777777" w:rsidR="00CC449D" w:rsidRPr="00247A5B" w:rsidRDefault="00CC449D" w:rsidP="00CC449D">
            <w:pPr>
              <w:numPr>
                <w:ilvl w:val="0"/>
                <w:numId w:val="1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Serwer musi być fabrycznie nowy i pochodzić z oficjalnego kanału dystrybucyjnego w UE – wymagane oświadczenie wykonawcy;</w:t>
            </w:r>
          </w:p>
          <w:p w14:paraId="03FFE404" w14:textId="77777777" w:rsidR="00CC449D" w:rsidRPr="00247A5B" w:rsidRDefault="00CC449D" w:rsidP="00CC449D">
            <w:pPr>
              <w:numPr>
                <w:ilvl w:val="0"/>
                <w:numId w:val="12"/>
              </w:numPr>
              <w:spacing w:line="252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0ADB10E6" w14:textId="77777777" w:rsidR="00CC449D" w:rsidRPr="00635CB7" w:rsidRDefault="00CC449D" w:rsidP="00CC449D">
            <w:pPr>
              <w:numPr>
                <w:ilvl w:val="0"/>
                <w:numId w:val="12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</w:p>
          <w:p w14:paraId="1123F7D0" w14:textId="77777777" w:rsidR="00CC449D" w:rsidRPr="00247A5B" w:rsidRDefault="00CC449D" w:rsidP="00CC449D">
            <w:pPr>
              <w:numPr>
                <w:ilvl w:val="0"/>
                <w:numId w:val="12"/>
              </w:numPr>
              <w:spacing w:line="252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</w:tc>
        <w:tc>
          <w:tcPr>
            <w:tcW w:w="2693" w:type="dxa"/>
          </w:tcPr>
          <w:p w14:paraId="2BE69924" w14:textId="44641B37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7" w:type="dxa"/>
          </w:tcPr>
          <w:p w14:paraId="488DC4DB" w14:textId="30F2513C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</w:tcPr>
          <w:p w14:paraId="01C5EA0B" w14:textId="144982E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</w:tcPr>
          <w:p w14:paraId="20B04B5D" w14:textId="014F3576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</w:tcPr>
          <w:p w14:paraId="2647FE70" w14:textId="4BE86024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</w:tcPr>
          <w:p w14:paraId="32F8DC64" w14:textId="330A49BD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tr w:rsidR="00CC449D" w:rsidRPr="007D1361" w14:paraId="3AB67643" w14:textId="77777777" w:rsidTr="00137B59">
        <w:tc>
          <w:tcPr>
            <w:tcW w:w="521" w:type="dxa"/>
            <w:vMerge/>
            <w:tcBorders>
              <w:bottom w:val="single" w:sz="4" w:space="0" w:color="auto"/>
            </w:tcBorders>
          </w:tcPr>
          <w:p w14:paraId="7618C794" w14:textId="77777777" w:rsidR="00CC449D" w:rsidRPr="007D1361" w:rsidRDefault="00CC449D" w:rsidP="00CC449D">
            <w:pPr>
              <w:rPr>
                <w:rFonts w:asciiTheme="majorHAnsi" w:hAnsiTheme="majorHAnsi" w:cs="Arial"/>
                <w:sz w:val="19"/>
                <w:szCs w:val="19"/>
              </w:rPr>
            </w:pPr>
          </w:p>
        </w:tc>
        <w:tc>
          <w:tcPr>
            <w:tcW w:w="17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AD7D64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Licencja na system operacyjny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B02C49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Licencja na serwerowy system operacyjny musi uprawniać do uruchamiania serwerowego systemu operacyjnego w środowisku fizycznym i dwóch wirtualnych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środowisk serwerowego systemu operacyjnego niezależnie od liczby rdzeni w serwerze fizycznym. </w:t>
            </w:r>
          </w:p>
          <w:p w14:paraId="5A9FC6E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3E9DA83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1. Możliwość wykorzystania 320 logicznych procesorów oraz co najmniej 4 TB pamięci RAM w środowisku fizycznym. </w:t>
            </w:r>
          </w:p>
          <w:p w14:paraId="414A1C5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2. Możliwość wykorzystywania 64 procesorów wirtualnych oraz 1TB pamięci RAM i dysku o pojemności do 64TB przez każdy wirtualny serwerowy system operacyjny. </w:t>
            </w:r>
          </w:p>
          <w:p w14:paraId="532E2CD1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3.  Możliwość budowania klastrów składających się z 64 węzłów, z możliwością uruchamiania  7000 maszyn wirtualnych.  </w:t>
            </w:r>
          </w:p>
          <w:p w14:paraId="2D7A276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4. Możliwość migracji maszyn wirtualnych bez zatrzymywania ich pracy między fizycznymi serwerami z uruchomionym mechanizmem wirtualizacji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hypervisor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 przez sieć Ethernet, bez konieczności stosowania dodatkowych mechanizmów współdzielenia pamięci. </w:t>
            </w:r>
          </w:p>
          <w:p w14:paraId="4245FC8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5. Wsparcie (na umożliwiającym to sprzęcie) dodawania i wymiany pamięci RAM bez przerywania pracy. </w:t>
            </w:r>
          </w:p>
          <w:p w14:paraId="11F5685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6. Wsparcie (na umożliwiającym to sprzęcie) dodawania i wymiany procesorów bez przerywania pracy. </w:t>
            </w:r>
          </w:p>
          <w:p w14:paraId="0EAF916B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7. Automatyczna weryfikacja cyfrowych sygnatur sterowników w celu sprawdzenia, czy sterownik przeszedł testy jakości przeprowadzone przez producenta systemu operacyjnego. </w:t>
            </w:r>
          </w:p>
          <w:p w14:paraId="006A6CDF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8. 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Hyper-Threading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</w:t>
            </w:r>
          </w:p>
          <w:p w14:paraId="0DDF66EE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9. Wbudowane wsparcie instalacji i pracy na wolumenach, które: </w:t>
            </w:r>
          </w:p>
          <w:p w14:paraId="4E7C699D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a. pozwalają na zmianę rozmiaru w czasie pracy systemu, </w:t>
            </w:r>
          </w:p>
          <w:p w14:paraId="15EC975F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b. umożliwiają tworzenie w czasie pracy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systemu migawek, dających użytkownikom końcowym (lokalnym i sieciowym) prosty wgląd w poprzednie wersje plików i folderów, </w:t>
            </w:r>
          </w:p>
          <w:p w14:paraId="3077E5E3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c. umożliwiają kompresję "w locie" dla wybranych plików i/lub folderów, </w:t>
            </w:r>
          </w:p>
          <w:p w14:paraId="02BB0F2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d. umożliwiają zdefiniowanie list kontroli dostępu (ACL). </w:t>
            </w:r>
          </w:p>
          <w:p w14:paraId="5D41354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10. Wbudowany mechanizm klasyfikowania i indeksowania plików (dokumentów) w oparciu o ich zawartość. </w:t>
            </w:r>
          </w:p>
          <w:p w14:paraId="29A55357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11. Wbudowane szyfrowanie dysków przy pomocy mechanizmów posiadających certyfikat FIPS 140-2 lub równoważny wydany przez NIST lub inną agendę rządową zajmującą się bezpieczeństwem informacji. </w:t>
            </w:r>
          </w:p>
          <w:p w14:paraId="467AEEB9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12. Możliwość uruchamianie aplikacji internetowych wykorzystujących technologię ASP.NET </w:t>
            </w:r>
          </w:p>
          <w:p w14:paraId="7524F8EF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13. Możliwość dystrybucji ruchu sieciowego HTTP pomiędzy kilka serwerów. </w:t>
            </w:r>
          </w:p>
          <w:p w14:paraId="266EDED7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14. Wbudowana zapora internetowa (firewall) z obsługą definiowanych reguł dla ochrony połączeń internetowych i intranetowych. </w:t>
            </w:r>
          </w:p>
          <w:p w14:paraId="066794E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15. Dostępne dwa rodzaje graficznego interfejsu użytkownika: </w:t>
            </w:r>
          </w:p>
          <w:p w14:paraId="4EC74D1C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a. Klasyczny, umożliwiający obsługę przy pomocy klawiatury i myszy, </w:t>
            </w:r>
          </w:p>
          <w:p w14:paraId="4EE60F0D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b. Dotykowy umożliwiający sterowanie dotykiem na monitorach dotykowych. </w:t>
            </w:r>
          </w:p>
          <w:p w14:paraId="6ADC446E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16. Zlokalizowane w języku polskim, co najmniej następujące elementy: menu, przeglądarka internetowa, pomoc, komunikaty systemowe, </w:t>
            </w:r>
          </w:p>
          <w:p w14:paraId="1F3A2095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17. Możliwość zmiany języka interfejsu po zainstalowaniu systemu, dla co najmniej 10 języków poprzez wybór z listy dostępnych lokalizacji. </w:t>
            </w:r>
          </w:p>
          <w:p w14:paraId="1400A7E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18. Mechanizmy logowania w oparciu o: </w:t>
            </w:r>
          </w:p>
          <w:p w14:paraId="7836367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a. Login i hasło, </w:t>
            </w:r>
          </w:p>
          <w:p w14:paraId="52D43C23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b. Karty z certyfikatami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smartcard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), </w:t>
            </w:r>
          </w:p>
          <w:p w14:paraId="3313DA8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c. Wirtualne karty (logowanie w oparciu o certyfikat chroniony poprzez moduł TPM), </w:t>
            </w:r>
          </w:p>
          <w:p w14:paraId="1BB2BE97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19. Możliwość wymuszania wieloelementowej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33466905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20. Wsparcie dla większości powszechnie używanych urządzeń peryferyjnych (drukarek, urządzeń sieciowych, standardów USB,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Plug&amp;Play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). </w:t>
            </w:r>
          </w:p>
          <w:p w14:paraId="2F37A73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21. Możliwość zdalnej konfiguracji, administrowania oraz aktualizowania systemu. </w:t>
            </w:r>
          </w:p>
          <w:p w14:paraId="05164D3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22. Dostępność bezpłatnych narzędzi producenta systemu umożliwiających badanie i wdrażanie zdefiniowanego zestawu polityk bezpieczeństwa. </w:t>
            </w:r>
          </w:p>
          <w:p w14:paraId="439BCF01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23. Pochodzący od producenta systemu serwis zarządzania polityką dostępu do informacji w dokumentach (Digital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Rights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Management). </w:t>
            </w:r>
          </w:p>
          <w:p w14:paraId="4B61256A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24. Wsparcie dla środowisk Java i .NET Framework 4.x – możliwość uruchomienia aplikacji działających we wskazanych środowiskach. </w:t>
            </w:r>
          </w:p>
          <w:p w14:paraId="68E53B5B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25. Możliwość implementacji następujących funkcjonalności bez potrzeby instalowania dodatkowych produktów (oprogramowania) innych producentów wymagających dodatkowych licencji: </w:t>
            </w:r>
          </w:p>
          <w:p w14:paraId="3D2308D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a. Podstawowe usługi sieciowe: DHCP oraz DNS wspierający DNSSEC, </w:t>
            </w:r>
          </w:p>
          <w:p w14:paraId="0416365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b.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632E3C41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Podłączenie do domeny w trybie offline – bez dostępnego połączenia sieciowego z domeną, </w:t>
            </w:r>
          </w:p>
          <w:p w14:paraId="7FCA755B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Ustanawianie praw dostępu do zasobów domeny na bazie sposobu logowania użytkownika – na przykład typu certyfikatu użytego do logowania, </w:t>
            </w:r>
          </w:p>
          <w:p w14:paraId="15052BE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Odzyskiwanie przypadkowo skasowanych obiektów usługi katalogowej z mechanizmu kosza.  </w:t>
            </w:r>
          </w:p>
          <w:p w14:paraId="027222E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IV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Bezpieczny mechanizm dołączania do domeny uprawnionych użytkowników prywatnych urządzeń mobilnych opartych o iOS i Windows 8.1.  </w:t>
            </w:r>
          </w:p>
          <w:p w14:paraId="6FB18D3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c. Zdalna dystrybucja oprogramowania na stacje robocze. </w:t>
            </w:r>
          </w:p>
          <w:p w14:paraId="0982A77D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d. Praca zdalna na serwerze z wykorzystaniem terminala (cienkiego klienta) lub odpowiednio skonfigurowanej stacji roboczej </w:t>
            </w:r>
          </w:p>
          <w:p w14:paraId="7460153D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e. Centrum Certyfikatów (CA), obsługa klucza publicznego i prywatnego) umożliwiające: </w:t>
            </w:r>
          </w:p>
          <w:p w14:paraId="251BB32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Dystrybucję certyfikatów poprzez http </w:t>
            </w:r>
          </w:p>
          <w:p w14:paraId="32B4D1E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Konsolidację CA dla wielu lasów domeny, </w:t>
            </w:r>
          </w:p>
          <w:p w14:paraId="5DE4A87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Automatyczne rejestrowania certyfikatów pomiędzy różnymi lasami domen, </w:t>
            </w:r>
          </w:p>
          <w:p w14:paraId="281F9D25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IV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Automatyczne występowanie i używanie (wystawianie) certyfikatów PKI X.509. </w:t>
            </w:r>
          </w:p>
          <w:p w14:paraId="5FDC6BF5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f. Szyfrowanie plików i folderów. </w:t>
            </w:r>
          </w:p>
          <w:p w14:paraId="262675D7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g. Szyfrowanie połączeń sieciowych pomiędzy serwerami oraz serwerami i stacjami roboczymi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IPSec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). </w:t>
            </w:r>
          </w:p>
          <w:p w14:paraId="2C8378CC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h. Możliwość tworzenia systemów wysokiej dostępności (klastry typu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fail-over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 oraz rozłożenia obciążenia serwerów. </w:t>
            </w:r>
          </w:p>
          <w:p w14:paraId="4ABDECB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i. Serwis udostępniania stron WWW. </w:t>
            </w:r>
          </w:p>
          <w:p w14:paraId="732F3B0A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j. Wsparcie dla protokołu IP w wersji 6 (IPv6), </w:t>
            </w:r>
          </w:p>
          <w:p w14:paraId="75F8D38F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k. Wsparcie dla algorytmów Suite B (RFC 4869), </w:t>
            </w:r>
          </w:p>
          <w:p w14:paraId="65D9089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l. Wbudowane usługi VPN pozwalające na zestawienie nielimitowanej liczby równoczesnych połączeń i niewymagające instalacji dodatkowego oprogramowania na komputerach z systemem Windows, </w:t>
            </w:r>
          </w:p>
          <w:p w14:paraId="522A60A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m. Wbudowane mechanizmy wirtualizacji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Hypervisor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 pozwalające na uruchamianie do 1000 aktywnych środowisk wirtualnych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systemów operacyjnych. Wirtualne maszyny w trakcie pracy i bez zauważalnego zmniejszenia ich dostępności mogą być przenoszone pomiędzy serwerami klastra typu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failover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z jednoczesnym zachowaniem pozostałej funkcjonalności. Mechanizmy wirtualizacji mają zapewnić wsparcie dla: </w:t>
            </w:r>
          </w:p>
          <w:p w14:paraId="3ECA55BC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Dynamicznego podłączania zasobów dyskowych typu hot-plug do maszyn wirtualnych, </w:t>
            </w:r>
          </w:p>
          <w:p w14:paraId="7347E52F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Obsługi ramek typu jumbo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frames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dla maszyn wirtualnych. </w:t>
            </w:r>
          </w:p>
          <w:p w14:paraId="28303EC0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III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Obsługi 4-KB sektorów dysków  </w:t>
            </w:r>
          </w:p>
          <w:p w14:paraId="5DE41D32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IV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Nielimitowanej liczby jednocześnie przenoszonych maszyn wirtualnych pomiędzy węzłami klastra </w:t>
            </w:r>
          </w:p>
          <w:p w14:paraId="1340F20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V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Możliwości wirtualizacji sieci z zastosowaniem przełącznika, którego funkcjonalność może być rozszerzana jednocześnie poprzez oprogramowanie kilku innych dostawców poprzez otwarty interfejs API. </w:t>
            </w:r>
          </w:p>
          <w:p w14:paraId="3D9137AE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sz w:val="20"/>
                <w:szCs w:val="20"/>
              </w:rPr>
              <w:t>VI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. Możliwości kierowania ruchu sieciowego z wielu sieci VLAN bezpośrednio do pojedynczej karty sieciowej maszyny wirtualnej (tzw.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trunk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mode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 </w:t>
            </w:r>
          </w:p>
          <w:p w14:paraId="0711D8D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26.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52B886A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27. Wsparcie dostępu do zasobu dyskowego poprzez wiele ścieżek (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Multipath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). </w:t>
            </w:r>
          </w:p>
          <w:p w14:paraId="0C12604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28. Możliwość instalacji poprawek poprzez wgranie ich do obrazu instalacyjnego. </w:t>
            </w:r>
          </w:p>
          <w:p w14:paraId="380452B1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29. Mechanizmy zdalnej administracji oraz mechanizmy (również działające zdalnie) administracji przez skrypty. </w:t>
            </w:r>
          </w:p>
          <w:p w14:paraId="18E53468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30. Możliwość zarządzania przez wbudowane mechanizmy zgodne ze standardami WBEM </w:t>
            </w:r>
            <w:r w:rsidRPr="00247A5B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oraz WS-Management organizacji DMTF. </w:t>
            </w:r>
          </w:p>
          <w:p w14:paraId="2C184709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31. Nośnik i klucz produktu pochodzący od producenta sprzętu</w:t>
            </w:r>
          </w:p>
          <w:p w14:paraId="3A69E229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>32. Zorganizowany system szkoleń i materiały edukacyjne w języku polskim.</w:t>
            </w:r>
          </w:p>
          <w:p w14:paraId="0B161A16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69F373A3" w14:textId="77777777" w:rsidR="00CC449D" w:rsidRPr="00247A5B" w:rsidRDefault="00CC449D" w:rsidP="00CC449D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247A5B">
              <w:rPr>
                <w:rFonts w:asciiTheme="majorHAnsi" w:hAnsiTheme="majorHAnsi"/>
                <w:sz w:val="20"/>
                <w:szCs w:val="20"/>
              </w:rPr>
              <w:t>System operacyjny licencje dostępowe</w:t>
            </w:r>
          </w:p>
          <w:p w14:paraId="3BA83684" w14:textId="77777777" w:rsidR="00CC449D" w:rsidRPr="00247A5B" w:rsidRDefault="00CC449D" w:rsidP="00CC449D">
            <w:pPr>
              <w:pStyle w:val="Bezodstpw"/>
              <w:spacing w:line="252" w:lineRule="auto"/>
              <w:jc w:val="both"/>
              <w:rPr>
                <w:rFonts w:asciiTheme="majorHAnsi" w:hAnsiTheme="majorHAnsi" w:cs="Calibri Light"/>
                <w:sz w:val="20"/>
                <w:szCs w:val="20"/>
              </w:rPr>
            </w:pPr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Licencja dostępowa dla 130 urządzeń (tzw. </w:t>
            </w:r>
            <w:proofErr w:type="spellStart"/>
            <w:r w:rsidRPr="00247A5B">
              <w:rPr>
                <w:rFonts w:asciiTheme="majorHAnsi" w:hAnsiTheme="majorHAnsi" w:cs="Calibri Light"/>
                <w:sz w:val="20"/>
                <w:szCs w:val="20"/>
              </w:rPr>
              <w:t>device</w:t>
            </w:r>
            <w:proofErr w:type="spellEnd"/>
            <w:r w:rsidRPr="00247A5B">
              <w:rPr>
                <w:rFonts w:asciiTheme="majorHAnsi" w:hAnsiTheme="majorHAnsi" w:cs="Calibri Light"/>
                <w:sz w:val="20"/>
                <w:szCs w:val="20"/>
              </w:rPr>
              <w:t xml:space="preserve"> cal) do w/w systemów operacyjnych</w:t>
            </w:r>
          </w:p>
          <w:p w14:paraId="3F403AEC" w14:textId="77777777" w:rsidR="00CC449D" w:rsidRPr="00247A5B" w:rsidRDefault="00CC449D" w:rsidP="00CC449D">
            <w:pPr>
              <w:spacing w:before="40" w:after="4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E2148D4" w14:textId="13C76309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896A31">
              <w:rPr>
                <w:rFonts w:asciiTheme="majorHAnsi" w:hAnsiTheme="majorHAnsi" w:cs="Arial"/>
                <w:sz w:val="30"/>
                <w:szCs w:val="30"/>
              </w:rPr>
              <w:lastRenderedPageBreak/>
              <w:t>X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F39F5D" w14:textId="5B2333B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35B564" w14:textId="632EF3E3" w:rsidR="00CC449D" w:rsidRPr="007D1361" w:rsidRDefault="00CC449D" w:rsidP="00CC449D">
            <w:pPr>
              <w:jc w:val="center"/>
              <w:rPr>
                <w:rFonts w:asciiTheme="majorHAnsi" w:hAnsiTheme="majorHAnsi" w:cs="Arial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557C6184" w14:textId="56C2AB36" w:rsidR="00CC449D" w:rsidRPr="007D1361" w:rsidRDefault="00CC449D" w:rsidP="00CC449D">
            <w:pPr>
              <w:jc w:val="center"/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1FB5FAE4" w14:textId="2CBD1D7F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66D2EC" w14:textId="2CBB9C39" w:rsidR="00CC449D" w:rsidRPr="007D1361" w:rsidRDefault="00CC449D" w:rsidP="00CC449D">
            <w:pPr>
              <w:rPr>
                <w:rFonts w:asciiTheme="majorHAnsi" w:hAnsiTheme="majorHAnsi" w:cs="Arial"/>
                <w:color w:val="FF0000"/>
                <w:sz w:val="19"/>
                <w:szCs w:val="19"/>
              </w:rPr>
            </w:pPr>
            <w:r w:rsidRPr="00054C28">
              <w:rPr>
                <w:rFonts w:asciiTheme="majorHAnsi" w:hAnsiTheme="majorHAnsi" w:cs="Arial"/>
                <w:sz w:val="30"/>
                <w:szCs w:val="30"/>
              </w:rPr>
              <w:t>X</w:t>
            </w:r>
          </w:p>
        </w:tc>
      </w:tr>
      <w:bookmarkEnd w:id="0"/>
      <w:tr w:rsidR="00CE13D3" w:rsidRPr="00CE13D3" w14:paraId="1A14199C" w14:textId="77777777" w:rsidTr="00CE13D3">
        <w:trPr>
          <w:trHeight w:val="582"/>
        </w:trPr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3A99B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EE5ACE" w14:textId="77777777" w:rsidR="00CE13D3" w:rsidRPr="00CE13D3" w:rsidRDefault="00CE13D3" w:rsidP="00CE13D3">
            <w:pPr>
              <w:spacing w:before="40" w:after="40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1E4CDA" w14:textId="77777777" w:rsidR="00CE13D3" w:rsidRPr="00CE13D3" w:rsidRDefault="00CE13D3" w:rsidP="00CE13D3">
            <w:pPr>
              <w:pStyle w:val="Bezodstpw"/>
              <w:spacing w:line="252" w:lineRule="auto"/>
              <w:jc w:val="center"/>
              <w:rPr>
                <w:rFonts w:asciiTheme="majorHAnsi" w:hAnsiTheme="majorHAnsi" w:cs="Calibri Light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7733FD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126738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0EC848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2C3B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CE13D3">
              <w:rPr>
                <w:rFonts w:asciiTheme="majorHAnsi" w:hAnsiTheme="majorHAnsi" w:cs="Arial"/>
                <w:b/>
                <w:sz w:val="24"/>
                <w:szCs w:val="24"/>
              </w:rPr>
              <w:t>RAZEM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7E24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31972" w14:textId="77777777" w:rsidR="00CE13D3" w:rsidRPr="00CE13D3" w:rsidRDefault="00CE13D3" w:rsidP="00CE13D3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</w:tr>
    </w:tbl>
    <w:p w14:paraId="10273E6E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4C92C3BF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356C62A9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p w14:paraId="1A11B2EE" w14:textId="77777777" w:rsidR="00B35FDD" w:rsidRDefault="00B35FDD" w:rsidP="00B35FDD">
      <w:pPr>
        <w:spacing w:after="0" w:line="240" w:lineRule="auto"/>
        <w:rPr>
          <w:rFonts w:asciiTheme="majorHAnsi" w:hAnsiTheme="majorHAnsi" w:cs="Arial"/>
          <w:b/>
          <w:sz w:val="19"/>
          <w:szCs w:val="19"/>
        </w:rPr>
      </w:pPr>
    </w:p>
    <w:tbl>
      <w:tblPr>
        <w:tblW w:w="15315" w:type="dxa"/>
        <w:tblLook w:val="04A0" w:firstRow="1" w:lastRow="0" w:firstColumn="1" w:lastColumn="0" w:noHBand="0" w:noVBand="1"/>
      </w:tblPr>
      <w:tblGrid>
        <w:gridCol w:w="7763"/>
        <w:gridCol w:w="7552"/>
      </w:tblGrid>
      <w:tr w:rsidR="00CE13D3" w:rsidRPr="007375B0" w14:paraId="44D818D3" w14:textId="77777777" w:rsidTr="00CE13D3">
        <w:tc>
          <w:tcPr>
            <w:tcW w:w="7763" w:type="dxa"/>
          </w:tcPr>
          <w:p w14:paraId="340A1D84" w14:textId="77777777" w:rsidR="00CE13D3" w:rsidRPr="007375B0" w:rsidRDefault="00CE13D3" w:rsidP="00CE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7552" w:type="dxa"/>
          </w:tcPr>
          <w:p w14:paraId="031B2E9E" w14:textId="77777777" w:rsidR="00CE13D3" w:rsidRPr="007375B0" w:rsidRDefault="00CE13D3" w:rsidP="00CE13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CE13D3" w:rsidRPr="007375B0" w14:paraId="34174B8C" w14:textId="77777777" w:rsidTr="00CE13D3">
        <w:tc>
          <w:tcPr>
            <w:tcW w:w="7763" w:type="dxa"/>
          </w:tcPr>
          <w:p w14:paraId="313D1DB0" w14:textId="77777777" w:rsidR="00CE13D3" w:rsidRPr="007375B0" w:rsidRDefault="00CE13D3" w:rsidP="00CE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 </w:t>
            </w:r>
          </w:p>
        </w:tc>
        <w:tc>
          <w:tcPr>
            <w:tcW w:w="7552" w:type="dxa"/>
          </w:tcPr>
          <w:p w14:paraId="10A8BAEA" w14:textId="77777777" w:rsidR="00CE13D3" w:rsidRPr="00DF6A0E" w:rsidRDefault="00CE13D3" w:rsidP="00507B23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p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odpis</w:t>
            </w:r>
            <w:proofErr w:type="spellEnd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7CB9F799" w14:textId="77777777" w:rsidR="00B35FDD" w:rsidRDefault="00CE13D3" w:rsidP="00B35FDD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  <w:r>
        <w:rPr>
          <w:rFonts w:asciiTheme="majorHAnsi" w:hAnsiTheme="majorHAnsi" w:cs="Arial"/>
          <w:b/>
          <w:sz w:val="28"/>
          <w:szCs w:val="19"/>
        </w:rPr>
        <w:t xml:space="preserve"> </w:t>
      </w:r>
    </w:p>
    <w:p w14:paraId="055C9C33" w14:textId="77777777" w:rsidR="00EB141E" w:rsidRDefault="00EB141E">
      <w:pPr>
        <w:spacing w:after="0" w:line="240" w:lineRule="auto"/>
        <w:rPr>
          <w:rFonts w:asciiTheme="majorHAnsi" w:hAnsiTheme="majorHAnsi" w:cs="Arial"/>
          <w:b/>
          <w:sz w:val="28"/>
          <w:szCs w:val="19"/>
        </w:rPr>
      </w:pPr>
    </w:p>
    <w:sectPr w:rsidR="00EB141E" w:rsidSect="00656CF3">
      <w:headerReference w:type="default" r:id="rId8"/>
      <w:pgSz w:w="16838" w:h="11906" w:orient="landscape"/>
      <w:pgMar w:top="158" w:right="1417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5570C" w14:textId="77777777" w:rsidR="00656CF3" w:rsidRDefault="00656CF3" w:rsidP="00656CF3">
      <w:pPr>
        <w:spacing w:after="0" w:line="240" w:lineRule="auto"/>
      </w:pPr>
      <w:r>
        <w:separator/>
      </w:r>
    </w:p>
  </w:endnote>
  <w:endnote w:type="continuationSeparator" w:id="0">
    <w:p w14:paraId="1DA3D726" w14:textId="77777777" w:rsidR="00656CF3" w:rsidRDefault="00656CF3" w:rsidP="0065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7E0AD" w14:textId="77777777" w:rsidR="00656CF3" w:rsidRDefault="00656CF3" w:rsidP="00656CF3">
      <w:pPr>
        <w:spacing w:after="0" w:line="240" w:lineRule="auto"/>
      </w:pPr>
      <w:r>
        <w:separator/>
      </w:r>
    </w:p>
  </w:footnote>
  <w:footnote w:type="continuationSeparator" w:id="0">
    <w:p w14:paraId="65E33D0E" w14:textId="77777777" w:rsidR="00656CF3" w:rsidRDefault="00656CF3" w:rsidP="00656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0689799"/>
      <w:docPartObj>
        <w:docPartGallery w:val="Page Numbers (Top of Page)"/>
        <w:docPartUnique/>
      </w:docPartObj>
    </w:sdtPr>
    <w:sdtEndPr/>
    <w:sdtContent>
      <w:p w14:paraId="6A255D7E" w14:textId="7BF09238" w:rsidR="00656CF3" w:rsidRDefault="00656CF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ECB95" w14:textId="77777777" w:rsidR="00656CF3" w:rsidRDefault="00656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20B"/>
    <w:rsid w:val="00112E0F"/>
    <w:rsid w:val="0065033D"/>
    <w:rsid w:val="00656CF3"/>
    <w:rsid w:val="00896A31"/>
    <w:rsid w:val="00B35FDD"/>
    <w:rsid w:val="00CC420B"/>
    <w:rsid w:val="00CC449D"/>
    <w:rsid w:val="00CE13D3"/>
    <w:rsid w:val="00E33279"/>
    <w:rsid w:val="00E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F5D9ED"/>
  <w15:docId w15:val="{9DECD96D-1567-4911-BD02-BA34E184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F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5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5FD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5FDD"/>
    <w:pPr>
      <w:ind w:left="720"/>
      <w:contextualSpacing/>
    </w:pPr>
  </w:style>
  <w:style w:type="paragraph" w:customStyle="1" w:styleId="Nagtab1">
    <w:name w:val="Nag_tab1"/>
    <w:basedOn w:val="Normalny"/>
    <w:qFormat/>
    <w:rsid w:val="00B35FDD"/>
    <w:pPr>
      <w:spacing w:before="40" w:after="40" w:line="240" w:lineRule="auto"/>
    </w:pPr>
    <w:rPr>
      <w:rFonts w:ascii="Arial" w:eastAsia="Calibri" w:hAnsi="Arial" w:cs="Times New Roman"/>
      <w:b/>
    </w:rPr>
  </w:style>
  <w:style w:type="paragraph" w:styleId="Tekstpodstawowy">
    <w:name w:val="Body Text"/>
    <w:basedOn w:val="Normalny"/>
    <w:link w:val="TekstpodstawowyZnak"/>
    <w:uiPriority w:val="99"/>
    <w:unhideWhenUsed/>
    <w:rsid w:val="00B35F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5FDD"/>
  </w:style>
  <w:style w:type="paragraph" w:styleId="Bezodstpw">
    <w:name w:val="No Spacing"/>
    <w:basedOn w:val="Normalny"/>
    <w:uiPriority w:val="1"/>
    <w:qFormat/>
    <w:rsid w:val="00B35FDD"/>
    <w:pPr>
      <w:spacing w:after="0" w:line="240" w:lineRule="auto"/>
    </w:pPr>
    <w:rPr>
      <w:rFonts w:ascii="Calibri" w:hAnsi="Calibri" w:cs="Calibri"/>
    </w:rPr>
  </w:style>
  <w:style w:type="paragraph" w:customStyle="1" w:styleId="Tretekstu">
    <w:name w:val="Treść tekstu"/>
    <w:basedOn w:val="Normalny"/>
    <w:semiHidden/>
    <w:unhideWhenUsed/>
    <w:rsid w:val="00B35FDD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6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CF3"/>
  </w:style>
  <w:style w:type="paragraph" w:styleId="Stopka">
    <w:name w:val="footer"/>
    <w:basedOn w:val="Normalny"/>
    <w:link w:val="StopkaZnak"/>
    <w:uiPriority w:val="99"/>
    <w:unhideWhenUsed/>
    <w:rsid w:val="00656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CF3"/>
  </w:style>
  <w:style w:type="paragraph" w:styleId="Tekstdymka">
    <w:name w:val="Balloon Text"/>
    <w:basedOn w:val="Normalny"/>
    <w:link w:val="TekstdymkaZnak"/>
    <w:uiPriority w:val="99"/>
    <w:semiHidden/>
    <w:unhideWhenUsed/>
    <w:rsid w:val="00896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47C29-3788-4A98-AA41-FD7DD259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2197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Mlynczak</dc:creator>
  <cp:keywords/>
  <dc:description/>
  <cp:lastModifiedBy>Justyna Młyńczak</cp:lastModifiedBy>
  <cp:revision>5</cp:revision>
  <cp:lastPrinted>2019-11-28T12:50:00Z</cp:lastPrinted>
  <dcterms:created xsi:type="dcterms:W3CDTF">2019-11-27T21:17:00Z</dcterms:created>
  <dcterms:modified xsi:type="dcterms:W3CDTF">2019-11-28T12:50:00Z</dcterms:modified>
</cp:coreProperties>
</file>